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480" w:lineRule="auto" w:before="80"/>
        <w:ind w:left="1917" w:right="1009" w:firstLine="628"/>
        <w:jc w:val="left"/>
        <w:rPr>
          <w:b/>
          <w:sz w:val="24"/>
        </w:rPr>
      </w:pPr>
      <w:r>
        <w:rPr>
          <w:b/>
          <w:color w:val="231F20"/>
          <w:sz w:val="24"/>
        </w:rPr>
        <w:t>THE CLARIDGE HOUSE COOPERATIVE, INC. ADDENDUM</w:t>
      </w:r>
      <w:r>
        <w:rPr>
          <w:b/>
          <w:color w:val="231F20"/>
          <w:spacing w:val="-6"/>
          <w:sz w:val="24"/>
        </w:rPr>
        <w:t> </w:t>
      </w:r>
      <w:r>
        <w:rPr>
          <w:b/>
          <w:color w:val="231F20"/>
          <w:sz w:val="24"/>
        </w:rPr>
        <w:t>TO</w:t>
      </w:r>
      <w:r>
        <w:rPr>
          <w:b/>
          <w:color w:val="231F20"/>
          <w:spacing w:val="-6"/>
          <w:sz w:val="24"/>
        </w:rPr>
        <w:t> </w:t>
      </w:r>
      <w:r>
        <w:rPr>
          <w:b/>
          <w:color w:val="231F20"/>
          <w:sz w:val="24"/>
        </w:rPr>
        <w:t>SUBLEASE</w:t>
      </w:r>
      <w:r>
        <w:rPr>
          <w:b/>
          <w:color w:val="231F20"/>
          <w:spacing w:val="80"/>
          <w:sz w:val="24"/>
        </w:rPr>
        <w:t> </w:t>
      </w:r>
      <w:r>
        <w:rPr>
          <w:b/>
          <w:color w:val="231F20"/>
          <w:sz w:val="24"/>
        </w:rPr>
        <w:t>-</w:t>
      </w:r>
      <w:r>
        <w:rPr>
          <w:b/>
          <w:color w:val="231F20"/>
          <w:spacing w:val="80"/>
          <w:sz w:val="24"/>
        </w:rPr>
        <w:t> </w:t>
      </w:r>
      <w:r>
        <w:rPr>
          <w:b/>
          <w:color w:val="231F20"/>
          <w:sz w:val="24"/>
        </w:rPr>
        <w:t>PERSONAL</w:t>
      </w:r>
      <w:r>
        <w:rPr>
          <w:b/>
          <w:color w:val="231F20"/>
          <w:spacing w:val="-6"/>
          <w:sz w:val="24"/>
        </w:rPr>
        <w:t> </w:t>
      </w:r>
      <w:r>
        <w:rPr>
          <w:b/>
          <w:color w:val="231F20"/>
          <w:sz w:val="24"/>
        </w:rPr>
        <w:t>GUARANTY</w:t>
      </w:r>
    </w:p>
    <w:p>
      <w:pPr>
        <w:tabs>
          <w:tab w:pos="7305" w:val="left" w:leader="none"/>
          <w:tab w:pos="9319" w:val="left" w:leader="none"/>
          <w:tab w:pos="10219" w:val="left" w:leader="none"/>
        </w:tabs>
        <w:spacing w:line="289" w:lineRule="exact" w:before="0"/>
        <w:ind w:left="829" w:right="0" w:firstLine="0"/>
        <w:jc w:val="left"/>
        <w:rPr>
          <w:b/>
          <w:sz w:val="24"/>
        </w:rPr>
      </w:pPr>
      <w:r>
        <w:rPr>
          <w:b/>
          <w:color w:val="231F20"/>
          <w:w w:val="95"/>
          <w:sz w:val="24"/>
        </w:rPr>
        <w:t>Washington,</w:t>
      </w:r>
      <w:r>
        <w:rPr>
          <w:b/>
          <w:color w:val="231F20"/>
          <w:spacing w:val="51"/>
          <w:sz w:val="24"/>
        </w:rPr>
        <w:t> </w:t>
      </w:r>
      <w:r>
        <w:rPr>
          <w:b/>
          <w:color w:val="231F20"/>
          <w:spacing w:val="-5"/>
          <w:sz w:val="24"/>
        </w:rPr>
        <w:t>DC</w:t>
      </w:r>
      <w:r>
        <w:rPr>
          <w:b/>
          <w:color w:val="231F20"/>
          <w:sz w:val="24"/>
        </w:rPr>
        <w:tab/>
        <w:t>Date:</w:t>
      </w:r>
      <w:r>
        <w:rPr>
          <w:b/>
          <w:color w:val="231F20"/>
          <w:spacing w:val="59"/>
          <w:sz w:val="24"/>
        </w:rPr>
        <w:t> </w:t>
      </w:r>
      <w:r>
        <w:rPr>
          <w:b/>
          <w:color w:val="231F20"/>
          <w:sz w:val="24"/>
          <w:u w:val="single" w:color="221E1F"/>
        </w:rPr>
        <w:tab/>
      </w:r>
      <w:r>
        <w:rPr>
          <w:b/>
          <w:color w:val="231F20"/>
          <w:sz w:val="24"/>
        </w:rPr>
        <w:t> , 20</w:t>
      </w:r>
      <w:r>
        <w:rPr>
          <w:b/>
          <w:color w:val="231F20"/>
          <w:sz w:val="24"/>
          <w:u w:val="single" w:color="221E1F"/>
        </w:rPr>
        <w:tab/>
      </w:r>
    </w:p>
    <w:p>
      <w:pPr>
        <w:pStyle w:val="BodyText"/>
        <w:spacing w:before="5"/>
        <w:ind w:left="0"/>
        <w:rPr>
          <w:b/>
          <w:sz w:val="16"/>
        </w:rPr>
      </w:pPr>
    </w:p>
    <w:p>
      <w:pPr>
        <w:pStyle w:val="BodyText"/>
        <w:tabs>
          <w:tab w:pos="6055" w:val="left" w:leader="none"/>
        </w:tabs>
        <w:spacing w:before="91"/>
      </w:pPr>
      <w:r>
        <w:rPr>
          <w:color w:val="231F20"/>
        </w:rPr>
        <w:t>The</w:t>
      </w:r>
      <w:r>
        <w:rPr>
          <w:color w:val="231F20"/>
          <w:spacing w:val="40"/>
        </w:rPr>
        <w:t> </w:t>
      </w:r>
      <w:r>
        <w:rPr>
          <w:color w:val="231F20"/>
        </w:rPr>
        <w:t>undersigned,</w:t>
      </w:r>
      <w:r>
        <w:rPr>
          <w:color w:val="231F20"/>
          <w:spacing w:val="35"/>
        </w:rPr>
        <w:t> </w:t>
      </w:r>
      <w:r>
        <w:rPr>
          <w:color w:val="231F20"/>
          <w:u w:val="single" w:color="221E1F"/>
        </w:rPr>
        <w:tab/>
      </w:r>
      <w:r>
        <w:rPr>
          <w:color w:val="231F20"/>
          <w:spacing w:val="35"/>
        </w:rPr>
        <w:t> </w:t>
      </w:r>
      <w:r>
        <w:rPr>
          <w:color w:val="231F20"/>
        </w:rPr>
        <w:t>(“Guarantor”)</w:t>
      </w:r>
      <w:r>
        <w:rPr>
          <w:color w:val="231F20"/>
          <w:spacing w:val="33"/>
        </w:rPr>
        <w:t> </w:t>
      </w:r>
      <w:r>
        <w:rPr>
          <w:color w:val="231F20"/>
        </w:rPr>
        <w:t>whose</w:t>
      </w:r>
      <w:r>
        <w:rPr>
          <w:color w:val="231F20"/>
          <w:spacing w:val="35"/>
        </w:rPr>
        <w:t> </w:t>
      </w:r>
      <w:r>
        <w:rPr>
          <w:color w:val="231F20"/>
        </w:rPr>
        <w:t>home</w:t>
      </w:r>
      <w:r>
        <w:rPr>
          <w:color w:val="231F20"/>
          <w:spacing w:val="35"/>
        </w:rPr>
        <w:t> </w:t>
      </w:r>
      <w:r>
        <w:rPr>
          <w:color w:val="231F20"/>
        </w:rPr>
        <w:t>address</w:t>
      </w:r>
      <w:r>
        <w:rPr>
          <w:color w:val="231F20"/>
          <w:spacing w:val="33"/>
        </w:rPr>
        <w:t> </w:t>
      </w:r>
      <w:r>
        <w:rPr>
          <w:color w:val="231F20"/>
        </w:rPr>
        <w:t>is</w:t>
      </w:r>
    </w:p>
    <w:p>
      <w:pPr>
        <w:pStyle w:val="BodyText"/>
        <w:tabs>
          <w:tab w:pos="6216" w:val="left" w:leader="none"/>
        </w:tabs>
        <w:spacing w:line="298" w:lineRule="exact" w:before="2"/>
      </w:pPr>
      <w:r>
        <w:rPr>
          <w:color w:val="231F20"/>
          <w:u w:val="single" w:color="221E1F"/>
        </w:rPr>
        <w:tab/>
      </w:r>
      <w:r>
        <w:rPr>
          <w:color w:val="231F20"/>
          <w:spacing w:val="38"/>
        </w:rPr>
        <w:t> </w:t>
      </w:r>
      <w:r>
        <w:rPr>
          <w:color w:val="231F20"/>
        </w:rPr>
        <w:t>,</w:t>
      </w:r>
      <w:r>
        <w:rPr>
          <w:color w:val="231F20"/>
          <w:spacing w:val="38"/>
        </w:rPr>
        <w:t> </w:t>
      </w:r>
      <w:r>
        <w:rPr>
          <w:color w:val="231F20"/>
        </w:rPr>
        <w:t>in</w:t>
      </w:r>
      <w:r>
        <w:rPr>
          <w:color w:val="231F20"/>
          <w:spacing w:val="38"/>
        </w:rPr>
        <w:t> </w:t>
      </w:r>
      <w:r>
        <w:rPr>
          <w:color w:val="231F20"/>
        </w:rPr>
        <w:t>consideration</w:t>
      </w:r>
      <w:r>
        <w:rPr>
          <w:color w:val="231F20"/>
          <w:spacing w:val="38"/>
        </w:rPr>
        <w:t> </w:t>
      </w:r>
      <w:r>
        <w:rPr>
          <w:color w:val="231F20"/>
        </w:rPr>
        <w:t>of</w:t>
      </w:r>
      <w:r>
        <w:rPr>
          <w:color w:val="231F20"/>
          <w:spacing w:val="38"/>
        </w:rPr>
        <w:t> </w:t>
      </w:r>
      <w:r>
        <w:rPr>
          <w:color w:val="231F20"/>
        </w:rPr>
        <w:t>the</w:t>
      </w:r>
      <w:r>
        <w:rPr>
          <w:color w:val="231F20"/>
          <w:spacing w:val="38"/>
        </w:rPr>
        <w:t> </w:t>
      </w:r>
      <w:r>
        <w:rPr>
          <w:color w:val="231F20"/>
        </w:rPr>
        <w:t>approval</w:t>
      </w:r>
      <w:r>
        <w:rPr>
          <w:color w:val="231F20"/>
          <w:spacing w:val="38"/>
        </w:rPr>
        <w:t> </w:t>
      </w:r>
      <w:r>
        <w:rPr>
          <w:color w:val="231F20"/>
        </w:rPr>
        <w:t>of</w:t>
      </w:r>
    </w:p>
    <w:p>
      <w:pPr>
        <w:pStyle w:val="BodyText"/>
        <w:tabs>
          <w:tab w:pos="3341" w:val="left" w:leader="none"/>
        </w:tabs>
        <w:spacing w:line="298" w:lineRule="exact"/>
      </w:pPr>
      <w:r>
        <w:rPr>
          <w:color w:val="231F20"/>
          <w:u w:val="single" w:color="221E1F"/>
        </w:rPr>
        <w:tab/>
      </w:r>
      <w:r>
        <w:rPr>
          <w:color w:val="231F20"/>
          <w:spacing w:val="80"/>
        </w:rPr>
        <w:t> </w:t>
      </w:r>
      <w:r>
        <w:rPr>
          <w:color w:val="231F20"/>
        </w:rPr>
        <w:t>(“Tenant”)</w:t>
      </w:r>
      <w:r>
        <w:rPr>
          <w:color w:val="231F20"/>
          <w:spacing w:val="80"/>
        </w:rPr>
        <w:t> </w:t>
      </w:r>
      <w:r>
        <w:rPr>
          <w:color w:val="231F20"/>
        </w:rPr>
        <w:t>as</w:t>
      </w:r>
      <w:r>
        <w:rPr>
          <w:color w:val="231F20"/>
          <w:spacing w:val="80"/>
        </w:rPr>
        <w:t> </w:t>
      </w:r>
      <w:r>
        <w:rPr>
          <w:color w:val="231F20"/>
        </w:rPr>
        <w:t>a</w:t>
      </w:r>
      <w:r>
        <w:rPr>
          <w:color w:val="231F20"/>
          <w:spacing w:val="80"/>
        </w:rPr>
        <w:t> </w:t>
      </w:r>
      <w:r>
        <w:rPr>
          <w:color w:val="231F20"/>
        </w:rPr>
        <w:t>Tenant</w:t>
      </w:r>
      <w:r>
        <w:rPr>
          <w:color w:val="231F20"/>
          <w:spacing w:val="80"/>
        </w:rPr>
        <w:t> </w:t>
      </w:r>
      <w:r>
        <w:rPr>
          <w:color w:val="231F20"/>
        </w:rPr>
        <w:t>under</w:t>
      </w:r>
      <w:r>
        <w:rPr>
          <w:color w:val="231F20"/>
          <w:spacing w:val="80"/>
        </w:rPr>
        <w:t> </w:t>
      </w:r>
      <w:r>
        <w:rPr>
          <w:color w:val="231F20"/>
        </w:rPr>
        <w:t>a</w:t>
      </w:r>
      <w:r>
        <w:rPr>
          <w:color w:val="231F20"/>
          <w:spacing w:val="80"/>
        </w:rPr>
        <w:t> </w:t>
      </w:r>
      <w:r>
        <w:rPr>
          <w:color w:val="231F20"/>
        </w:rPr>
        <w:t>sublease</w:t>
      </w:r>
      <w:r>
        <w:rPr>
          <w:color w:val="231F20"/>
          <w:spacing w:val="80"/>
        </w:rPr>
        <w:t> </w:t>
      </w:r>
      <w:r>
        <w:rPr>
          <w:color w:val="231F20"/>
        </w:rPr>
        <w:t>(“Sublease”)</w:t>
      </w:r>
      <w:r>
        <w:rPr>
          <w:color w:val="231F20"/>
          <w:spacing w:val="80"/>
        </w:rPr>
        <w:t> </w:t>
      </w:r>
      <w:r>
        <w:rPr>
          <w:color w:val="231F20"/>
        </w:rPr>
        <w:t>from</w:t>
      </w:r>
    </w:p>
    <w:p>
      <w:pPr>
        <w:pStyle w:val="BodyText"/>
        <w:tabs>
          <w:tab w:pos="3341" w:val="left" w:leader="none"/>
          <w:tab w:pos="7662" w:val="left" w:leader="none"/>
        </w:tabs>
        <w:spacing w:line="297" w:lineRule="exact"/>
      </w:pPr>
      <w:r>
        <w:rPr>
          <w:color w:val="231F20"/>
          <w:u w:val="single" w:color="221E1F"/>
        </w:rPr>
        <w:tab/>
      </w:r>
      <w:r>
        <w:rPr>
          <w:color w:val="231F20"/>
          <w:spacing w:val="40"/>
        </w:rPr>
        <w:t> </w:t>
      </w:r>
      <w:r>
        <w:rPr>
          <w:color w:val="231F20"/>
        </w:rPr>
        <w:t>(“Landlord”)</w:t>
      </w:r>
      <w:r>
        <w:rPr>
          <w:color w:val="231F20"/>
          <w:spacing w:val="40"/>
        </w:rPr>
        <w:t> </w:t>
      </w:r>
      <w:r>
        <w:rPr>
          <w:color w:val="231F20"/>
        </w:rPr>
        <w:t>of</w:t>
      </w:r>
      <w:r>
        <w:rPr>
          <w:color w:val="231F20"/>
          <w:spacing w:val="40"/>
        </w:rPr>
        <w:t> </w:t>
      </w:r>
      <w:r>
        <w:rPr>
          <w:color w:val="231F20"/>
        </w:rPr>
        <w:t>Apartment</w:t>
      </w:r>
      <w:r>
        <w:rPr>
          <w:color w:val="231F20"/>
          <w:spacing w:val="40"/>
        </w:rPr>
        <w:t> </w:t>
      </w:r>
      <w:r>
        <w:rPr>
          <w:color w:val="231F20"/>
        </w:rPr>
        <w:t>No.</w:t>
      </w:r>
      <w:r>
        <w:rPr>
          <w:color w:val="231F20"/>
          <w:spacing w:val="52"/>
        </w:rPr>
        <w:t> </w:t>
      </w:r>
      <w:r>
        <w:rPr>
          <w:color w:val="231F20"/>
          <w:u w:val="single" w:color="221E1F"/>
        </w:rPr>
        <w:tab/>
      </w:r>
      <w:r>
        <w:rPr>
          <w:color w:val="231F20"/>
          <w:spacing w:val="40"/>
        </w:rPr>
        <w:t> </w:t>
      </w:r>
      <w:r>
        <w:rPr>
          <w:color w:val="231F20"/>
        </w:rPr>
        <w:t>(“Premises”)</w:t>
      </w:r>
      <w:r>
        <w:rPr>
          <w:color w:val="231F20"/>
          <w:spacing w:val="40"/>
        </w:rPr>
        <w:t> </w:t>
      </w:r>
      <w:r>
        <w:rPr>
          <w:color w:val="231F20"/>
        </w:rPr>
        <w:t>located</w:t>
      </w:r>
      <w:r>
        <w:rPr>
          <w:color w:val="231F20"/>
          <w:spacing w:val="40"/>
        </w:rPr>
        <w:t> </w:t>
      </w:r>
      <w:r>
        <w:rPr>
          <w:color w:val="231F20"/>
        </w:rPr>
        <w:t>at</w:t>
      </w:r>
    </w:p>
    <w:p>
      <w:pPr>
        <w:pStyle w:val="BodyText"/>
        <w:tabs>
          <w:tab w:pos="3340" w:val="left" w:leader="none"/>
        </w:tabs>
        <w:ind w:right="121"/>
      </w:pPr>
      <w:r>
        <w:rPr>
          <w:color w:val="231F20"/>
          <w:u w:val="single" w:color="221E1F"/>
        </w:rPr>
        <w:tab/>
      </w:r>
      <w:r>
        <w:rPr>
          <w:color w:val="231F20"/>
        </w:rPr>
        <w:t> Washington, D.C. in the Cooperative apartment building owned by The Claridge House Cooperative, Inc. (“Cooperative”), hereby covenants and agrees:</w:t>
      </w:r>
    </w:p>
    <w:p>
      <w:pPr>
        <w:pStyle w:val="ListParagraph"/>
        <w:numPr>
          <w:ilvl w:val="0"/>
          <w:numId w:val="1"/>
        </w:numPr>
        <w:tabs>
          <w:tab w:pos="828" w:val="left" w:leader="none"/>
        </w:tabs>
        <w:spacing w:line="240" w:lineRule="auto" w:before="240" w:after="0"/>
        <w:ind w:left="107" w:right="116" w:firstLine="0"/>
        <w:jc w:val="both"/>
        <w:rPr>
          <w:sz w:val="24"/>
        </w:rPr>
      </w:pPr>
      <w:r>
        <w:rPr>
          <w:color w:val="231F20"/>
          <w:sz w:val="24"/>
        </w:rPr>
        <w:t>That</w:t>
      </w:r>
      <w:r>
        <w:rPr>
          <w:color w:val="231F20"/>
          <w:spacing w:val="-9"/>
          <w:sz w:val="24"/>
        </w:rPr>
        <w:t> </w:t>
      </w:r>
      <w:r>
        <w:rPr>
          <w:color w:val="231F20"/>
          <w:sz w:val="24"/>
        </w:rPr>
        <w:t>if</w:t>
      </w:r>
      <w:r>
        <w:rPr>
          <w:color w:val="231F20"/>
          <w:spacing w:val="-9"/>
          <w:sz w:val="24"/>
        </w:rPr>
        <w:t> </w:t>
      </w:r>
      <w:r>
        <w:rPr>
          <w:color w:val="231F20"/>
          <w:sz w:val="24"/>
        </w:rPr>
        <w:t>Tenant</w:t>
      </w:r>
      <w:r>
        <w:rPr>
          <w:color w:val="231F20"/>
          <w:spacing w:val="-11"/>
          <w:sz w:val="24"/>
        </w:rPr>
        <w:t> </w:t>
      </w:r>
      <w:r>
        <w:rPr>
          <w:color w:val="231F20"/>
          <w:sz w:val="24"/>
        </w:rPr>
        <w:t>defaults</w:t>
      </w:r>
      <w:r>
        <w:rPr>
          <w:color w:val="231F20"/>
          <w:spacing w:val="-5"/>
          <w:sz w:val="24"/>
        </w:rPr>
        <w:t> </w:t>
      </w:r>
      <w:r>
        <w:rPr>
          <w:color w:val="231F20"/>
          <w:sz w:val="24"/>
        </w:rPr>
        <w:t>in</w:t>
      </w:r>
      <w:r>
        <w:rPr>
          <w:color w:val="231F20"/>
          <w:spacing w:val="-12"/>
          <w:sz w:val="24"/>
        </w:rPr>
        <w:t> </w:t>
      </w:r>
      <w:r>
        <w:rPr>
          <w:color w:val="231F20"/>
          <w:sz w:val="24"/>
        </w:rPr>
        <w:t>the</w:t>
      </w:r>
      <w:r>
        <w:rPr>
          <w:color w:val="231F20"/>
          <w:spacing w:val="-9"/>
          <w:sz w:val="24"/>
        </w:rPr>
        <w:t> </w:t>
      </w:r>
      <w:r>
        <w:rPr>
          <w:color w:val="231F20"/>
          <w:sz w:val="24"/>
        </w:rPr>
        <w:t>performance</w:t>
      </w:r>
      <w:r>
        <w:rPr>
          <w:color w:val="231F20"/>
          <w:spacing w:val="-7"/>
          <w:sz w:val="24"/>
        </w:rPr>
        <w:t> </w:t>
      </w:r>
      <w:r>
        <w:rPr>
          <w:color w:val="231F20"/>
          <w:sz w:val="24"/>
        </w:rPr>
        <w:t>of</w:t>
      </w:r>
      <w:r>
        <w:rPr>
          <w:color w:val="231F20"/>
          <w:spacing w:val="-9"/>
          <w:sz w:val="24"/>
        </w:rPr>
        <w:t> </w:t>
      </w:r>
      <w:r>
        <w:rPr>
          <w:color w:val="231F20"/>
          <w:sz w:val="24"/>
        </w:rPr>
        <w:t>any</w:t>
      </w:r>
      <w:r>
        <w:rPr>
          <w:color w:val="231F20"/>
          <w:spacing w:val="-9"/>
          <w:sz w:val="24"/>
        </w:rPr>
        <w:t> </w:t>
      </w:r>
      <w:r>
        <w:rPr>
          <w:color w:val="231F20"/>
          <w:sz w:val="24"/>
        </w:rPr>
        <w:t>obligation</w:t>
      </w:r>
      <w:r>
        <w:rPr>
          <w:color w:val="231F20"/>
          <w:spacing w:val="-9"/>
          <w:sz w:val="24"/>
        </w:rPr>
        <w:t> </w:t>
      </w:r>
      <w:r>
        <w:rPr>
          <w:color w:val="231F20"/>
          <w:sz w:val="24"/>
        </w:rPr>
        <w:t>under</w:t>
      </w:r>
      <w:r>
        <w:rPr>
          <w:color w:val="231F20"/>
          <w:spacing w:val="-9"/>
          <w:sz w:val="24"/>
        </w:rPr>
        <w:t> </w:t>
      </w:r>
      <w:r>
        <w:rPr>
          <w:color w:val="231F20"/>
          <w:sz w:val="24"/>
        </w:rPr>
        <w:t>the</w:t>
      </w:r>
      <w:r>
        <w:rPr>
          <w:color w:val="231F20"/>
          <w:spacing w:val="-12"/>
          <w:sz w:val="24"/>
        </w:rPr>
        <w:t> </w:t>
      </w:r>
      <w:r>
        <w:rPr>
          <w:color w:val="231F20"/>
          <w:sz w:val="24"/>
        </w:rPr>
        <w:t>Sublease,</w:t>
      </w:r>
      <w:r>
        <w:rPr>
          <w:color w:val="231F20"/>
          <w:spacing w:val="-9"/>
          <w:sz w:val="24"/>
        </w:rPr>
        <w:t> </w:t>
      </w:r>
      <w:r>
        <w:rPr>
          <w:color w:val="231F20"/>
          <w:sz w:val="24"/>
        </w:rPr>
        <w:t>including without</w:t>
      </w:r>
      <w:r>
        <w:rPr>
          <w:color w:val="231F20"/>
          <w:spacing w:val="-7"/>
          <w:sz w:val="24"/>
        </w:rPr>
        <w:t> </w:t>
      </w:r>
      <w:r>
        <w:rPr>
          <w:color w:val="231F20"/>
          <w:sz w:val="24"/>
        </w:rPr>
        <w:t>limitation</w:t>
      </w:r>
      <w:r>
        <w:rPr>
          <w:color w:val="231F20"/>
          <w:spacing w:val="-6"/>
          <w:sz w:val="24"/>
        </w:rPr>
        <w:t> </w:t>
      </w:r>
      <w:r>
        <w:rPr>
          <w:color w:val="231F20"/>
          <w:sz w:val="24"/>
        </w:rPr>
        <w:t>any</w:t>
      </w:r>
      <w:r>
        <w:rPr>
          <w:color w:val="231F20"/>
          <w:spacing w:val="-7"/>
          <w:sz w:val="24"/>
        </w:rPr>
        <w:t> </w:t>
      </w:r>
      <w:r>
        <w:rPr>
          <w:color w:val="231F20"/>
          <w:sz w:val="24"/>
        </w:rPr>
        <w:t>payment</w:t>
      </w:r>
      <w:r>
        <w:rPr>
          <w:color w:val="231F20"/>
          <w:spacing w:val="-7"/>
          <w:sz w:val="24"/>
        </w:rPr>
        <w:t> </w:t>
      </w:r>
      <w:r>
        <w:rPr>
          <w:color w:val="231F20"/>
          <w:sz w:val="24"/>
        </w:rPr>
        <w:t>obligation,</w:t>
      </w:r>
      <w:r>
        <w:rPr>
          <w:color w:val="231F20"/>
          <w:spacing w:val="-7"/>
          <w:sz w:val="24"/>
        </w:rPr>
        <w:t> </w:t>
      </w:r>
      <w:r>
        <w:rPr>
          <w:color w:val="231F20"/>
          <w:sz w:val="24"/>
        </w:rPr>
        <w:t>then</w:t>
      </w:r>
      <w:r>
        <w:rPr>
          <w:color w:val="231F20"/>
          <w:spacing w:val="-6"/>
          <w:sz w:val="24"/>
        </w:rPr>
        <w:t> </w:t>
      </w:r>
      <w:r>
        <w:rPr>
          <w:color w:val="231F20"/>
          <w:sz w:val="24"/>
        </w:rPr>
        <w:t>Guarantor</w:t>
      </w:r>
      <w:r>
        <w:rPr>
          <w:color w:val="231F20"/>
          <w:spacing w:val="-4"/>
          <w:sz w:val="24"/>
        </w:rPr>
        <w:t> </w:t>
      </w:r>
      <w:r>
        <w:rPr>
          <w:color w:val="231F20"/>
          <w:sz w:val="24"/>
        </w:rPr>
        <w:t>shall</w:t>
      </w:r>
      <w:r>
        <w:rPr>
          <w:color w:val="231F20"/>
          <w:spacing w:val="-7"/>
          <w:sz w:val="24"/>
        </w:rPr>
        <w:t> </w:t>
      </w:r>
      <w:r>
        <w:rPr>
          <w:color w:val="231F20"/>
          <w:sz w:val="24"/>
        </w:rPr>
        <w:t>cure</w:t>
      </w:r>
      <w:r>
        <w:rPr>
          <w:color w:val="231F20"/>
          <w:spacing w:val="-7"/>
          <w:sz w:val="24"/>
        </w:rPr>
        <w:t> </w:t>
      </w:r>
      <w:r>
        <w:rPr>
          <w:color w:val="231F20"/>
          <w:sz w:val="24"/>
        </w:rPr>
        <w:t>such</w:t>
      </w:r>
      <w:r>
        <w:rPr>
          <w:color w:val="231F20"/>
          <w:spacing w:val="-6"/>
          <w:sz w:val="24"/>
        </w:rPr>
        <w:t> </w:t>
      </w:r>
      <w:r>
        <w:rPr>
          <w:color w:val="231F20"/>
          <w:sz w:val="24"/>
        </w:rPr>
        <w:t>default</w:t>
      </w:r>
      <w:r>
        <w:rPr>
          <w:color w:val="231F20"/>
          <w:spacing w:val="-6"/>
          <w:sz w:val="24"/>
        </w:rPr>
        <w:t> </w:t>
      </w:r>
      <w:r>
        <w:rPr>
          <w:color w:val="231F20"/>
          <w:sz w:val="24"/>
        </w:rPr>
        <w:t>in</w:t>
      </w:r>
      <w:r>
        <w:rPr>
          <w:color w:val="231F20"/>
          <w:spacing w:val="-6"/>
          <w:sz w:val="24"/>
        </w:rPr>
        <w:t> </w:t>
      </w:r>
      <w:r>
        <w:rPr>
          <w:color w:val="231F20"/>
          <w:sz w:val="24"/>
        </w:rPr>
        <w:t>full,</w:t>
      </w:r>
      <w:r>
        <w:rPr>
          <w:color w:val="231F20"/>
          <w:spacing w:val="-6"/>
          <w:sz w:val="24"/>
        </w:rPr>
        <w:t> </w:t>
      </w:r>
      <w:r>
        <w:rPr>
          <w:color w:val="231F20"/>
          <w:sz w:val="24"/>
        </w:rPr>
        <w:t>within 30 days after written notice of default from Landlord.</w:t>
      </w:r>
      <w:r>
        <w:rPr>
          <w:color w:val="231F20"/>
          <w:spacing w:val="40"/>
          <w:sz w:val="24"/>
        </w:rPr>
        <w:t> </w:t>
      </w:r>
      <w:r>
        <w:rPr>
          <w:color w:val="231F20"/>
          <w:sz w:val="24"/>
        </w:rPr>
        <w:t>Guarantor hereby waives all other requirements of notice, including, but not limited to, notice of acceptance, and presentment of this Guaranty.</w:t>
      </w:r>
    </w:p>
    <w:p>
      <w:pPr>
        <w:pStyle w:val="ListParagraph"/>
        <w:numPr>
          <w:ilvl w:val="0"/>
          <w:numId w:val="1"/>
        </w:numPr>
        <w:tabs>
          <w:tab w:pos="828" w:val="left" w:leader="none"/>
        </w:tabs>
        <w:spacing w:line="240" w:lineRule="auto" w:before="239" w:after="0"/>
        <w:ind w:left="107" w:right="117" w:firstLine="0"/>
        <w:jc w:val="both"/>
        <w:rPr>
          <w:sz w:val="24"/>
        </w:rPr>
      </w:pPr>
      <w:r>
        <w:rPr>
          <w:color w:val="231F20"/>
          <w:sz w:val="24"/>
        </w:rPr>
        <w:t>That if Guarantor fails to cure any such default in full within the 30-day notice</w:t>
      </w:r>
      <w:r>
        <w:rPr>
          <w:color w:val="231F20"/>
          <w:spacing w:val="-1"/>
          <w:sz w:val="24"/>
        </w:rPr>
        <w:t> </w:t>
      </w:r>
      <w:r>
        <w:rPr>
          <w:color w:val="231F20"/>
          <w:sz w:val="24"/>
        </w:rPr>
        <w:t>period set forth above, Guarantor assumes personal liability for any such default and for any and all amounts owed to Landlord in connection with such default, including costs and attorney’s fees, and,</w:t>
      </w:r>
      <w:r>
        <w:rPr>
          <w:color w:val="231F20"/>
          <w:spacing w:val="-4"/>
          <w:sz w:val="24"/>
        </w:rPr>
        <w:t> </w:t>
      </w:r>
      <w:r>
        <w:rPr>
          <w:color w:val="231F20"/>
          <w:sz w:val="24"/>
        </w:rPr>
        <w:t>at</w:t>
      </w:r>
      <w:r>
        <w:rPr>
          <w:color w:val="231F20"/>
          <w:spacing w:val="-4"/>
          <w:sz w:val="24"/>
        </w:rPr>
        <w:t> </w:t>
      </w:r>
      <w:r>
        <w:rPr>
          <w:color w:val="231F20"/>
          <w:sz w:val="24"/>
        </w:rPr>
        <w:t>Landlord’s</w:t>
      </w:r>
      <w:r>
        <w:rPr>
          <w:color w:val="231F20"/>
          <w:spacing w:val="-4"/>
          <w:sz w:val="24"/>
        </w:rPr>
        <w:t> </w:t>
      </w:r>
      <w:r>
        <w:rPr>
          <w:color w:val="231F20"/>
          <w:sz w:val="24"/>
        </w:rPr>
        <w:t>option,</w:t>
      </w:r>
      <w:r>
        <w:rPr>
          <w:color w:val="231F20"/>
          <w:spacing w:val="-4"/>
          <w:sz w:val="24"/>
        </w:rPr>
        <w:t> </w:t>
      </w:r>
      <w:r>
        <w:rPr>
          <w:color w:val="231F20"/>
          <w:sz w:val="24"/>
        </w:rPr>
        <w:t>may</w:t>
      </w:r>
      <w:r>
        <w:rPr>
          <w:color w:val="231F20"/>
          <w:spacing w:val="-4"/>
          <w:sz w:val="24"/>
        </w:rPr>
        <w:t> </w:t>
      </w:r>
      <w:r>
        <w:rPr>
          <w:color w:val="231F20"/>
          <w:sz w:val="24"/>
        </w:rPr>
        <w:t>be</w:t>
      </w:r>
      <w:r>
        <w:rPr>
          <w:color w:val="231F20"/>
          <w:spacing w:val="-4"/>
          <w:sz w:val="24"/>
        </w:rPr>
        <w:t> </w:t>
      </w:r>
      <w:r>
        <w:rPr>
          <w:color w:val="231F20"/>
          <w:sz w:val="24"/>
        </w:rPr>
        <w:t>joined</w:t>
      </w:r>
      <w:r>
        <w:rPr>
          <w:color w:val="231F20"/>
          <w:spacing w:val="-4"/>
          <w:sz w:val="24"/>
        </w:rPr>
        <w:t> </w:t>
      </w:r>
      <w:r>
        <w:rPr>
          <w:color w:val="231F20"/>
          <w:sz w:val="24"/>
        </w:rPr>
        <w:t>as</w:t>
      </w:r>
      <w:r>
        <w:rPr>
          <w:color w:val="231F20"/>
          <w:spacing w:val="-4"/>
          <w:sz w:val="24"/>
        </w:rPr>
        <w:t> </w:t>
      </w:r>
      <w:r>
        <w:rPr>
          <w:color w:val="231F20"/>
          <w:sz w:val="24"/>
        </w:rPr>
        <w:t>a</w:t>
      </w:r>
      <w:r>
        <w:rPr>
          <w:color w:val="231F20"/>
          <w:spacing w:val="-4"/>
          <w:sz w:val="24"/>
        </w:rPr>
        <w:t> </w:t>
      </w:r>
      <w:r>
        <w:rPr>
          <w:color w:val="231F20"/>
          <w:sz w:val="24"/>
        </w:rPr>
        <w:t>defendant</w:t>
      </w:r>
      <w:r>
        <w:rPr>
          <w:color w:val="231F20"/>
          <w:spacing w:val="-5"/>
          <w:sz w:val="24"/>
        </w:rPr>
        <w:t> </w:t>
      </w:r>
      <w:r>
        <w:rPr>
          <w:color w:val="231F20"/>
          <w:sz w:val="24"/>
        </w:rPr>
        <w:t>in</w:t>
      </w:r>
      <w:r>
        <w:rPr>
          <w:color w:val="231F20"/>
          <w:spacing w:val="-4"/>
          <w:sz w:val="24"/>
        </w:rPr>
        <w:t> </w:t>
      </w:r>
      <w:r>
        <w:rPr>
          <w:color w:val="231F20"/>
          <w:sz w:val="24"/>
        </w:rPr>
        <w:t>any</w:t>
      </w:r>
      <w:r>
        <w:rPr>
          <w:color w:val="231F20"/>
          <w:spacing w:val="-4"/>
          <w:sz w:val="24"/>
        </w:rPr>
        <w:t> </w:t>
      </w:r>
      <w:r>
        <w:rPr>
          <w:color w:val="231F20"/>
          <w:sz w:val="24"/>
        </w:rPr>
        <w:t>action</w:t>
      </w:r>
      <w:r>
        <w:rPr>
          <w:color w:val="231F20"/>
          <w:spacing w:val="-2"/>
          <w:sz w:val="24"/>
        </w:rPr>
        <w:t> </w:t>
      </w:r>
      <w:r>
        <w:rPr>
          <w:color w:val="231F20"/>
          <w:sz w:val="24"/>
        </w:rPr>
        <w:t>or</w:t>
      </w:r>
      <w:r>
        <w:rPr>
          <w:color w:val="231F20"/>
          <w:spacing w:val="-2"/>
          <w:sz w:val="24"/>
        </w:rPr>
        <w:t> </w:t>
      </w:r>
      <w:r>
        <w:rPr>
          <w:color w:val="231F20"/>
          <w:sz w:val="24"/>
        </w:rPr>
        <w:t>proceeding</w:t>
      </w:r>
      <w:r>
        <w:rPr>
          <w:color w:val="231F20"/>
          <w:spacing w:val="-4"/>
          <w:sz w:val="24"/>
        </w:rPr>
        <w:t> </w:t>
      </w:r>
      <w:r>
        <w:rPr>
          <w:color w:val="231F20"/>
          <w:sz w:val="24"/>
        </w:rPr>
        <w:t>commenced by</w:t>
      </w:r>
      <w:r>
        <w:rPr>
          <w:color w:val="231F20"/>
          <w:spacing w:val="-15"/>
          <w:sz w:val="24"/>
        </w:rPr>
        <w:t> </w:t>
      </w:r>
      <w:r>
        <w:rPr>
          <w:color w:val="231F20"/>
          <w:sz w:val="24"/>
        </w:rPr>
        <w:t>Landlord</w:t>
      </w:r>
      <w:r>
        <w:rPr>
          <w:color w:val="231F20"/>
          <w:spacing w:val="-15"/>
          <w:sz w:val="24"/>
        </w:rPr>
        <w:t> </w:t>
      </w:r>
      <w:r>
        <w:rPr>
          <w:color w:val="231F20"/>
          <w:sz w:val="24"/>
        </w:rPr>
        <w:t>against</w:t>
      </w:r>
      <w:r>
        <w:rPr>
          <w:color w:val="231F20"/>
          <w:spacing w:val="-15"/>
          <w:sz w:val="24"/>
        </w:rPr>
        <w:t> </w:t>
      </w:r>
      <w:r>
        <w:rPr>
          <w:color w:val="231F20"/>
          <w:sz w:val="24"/>
        </w:rPr>
        <w:t>Tenant</w:t>
      </w:r>
      <w:r>
        <w:rPr>
          <w:color w:val="231F20"/>
          <w:spacing w:val="-15"/>
          <w:sz w:val="24"/>
        </w:rPr>
        <w:t> </w:t>
      </w:r>
      <w:r>
        <w:rPr>
          <w:color w:val="231F20"/>
          <w:sz w:val="24"/>
        </w:rPr>
        <w:t>to</w:t>
      </w:r>
      <w:r>
        <w:rPr>
          <w:color w:val="231F20"/>
          <w:spacing w:val="-15"/>
          <w:sz w:val="24"/>
        </w:rPr>
        <w:t> </w:t>
      </w:r>
      <w:r>
        <w:rPr>
          <w:color w:val="231F20"/>
          <w:sz w:val="24"/>
        </w:rPr>
        <w:t>enforce</w:t>
      </w:r>
      <w:r>
        <w:rPr>
          <w:color w:val="231F20"/>
          <w:spacing w:val="-15"/>
          <w:sz w:val="24"/>
        </w:rPr>
        <w:t> </w:t>
      </w:r>
      <w:r>
        <w:rPr>
          <w:color w:val="231F20"/>
          <w:sz w:val="24"/>
        </w:rPr>
        <w:t>Tenant’s</w:t>
      </w:r>
      <w:r>
        <w:rPr>
          <w:color w:val="231F20"/>
          <w:spacing w:val="-15"/>
          <w:sz w:val="24"/>
        </w:rPr>
        <w:t> </w:t>
      </w:r>
      <w:r>
        <w:rPr>
          <w:color w:val="231F20"/>
          <w:sz w:val="24"/>
        </w:rPr>
        <w:t>obligations</w:t>
      </w:r>
      <w:r>
        <w:rPr>
          <w:color w:val="231F20"/>
          <w:spacing w:val="-15"/>
          <w:sz w:val="24"/>
        </w:rPr>
        <w:t> </w:t>
      </w:r>
      <w:r>
        <w:rPr>
          <w:color w:val="231F20"/>
          <w:sz w:val="24"/>
        </w:rPr>
        <w:t>under</w:t>
      </w:r>
      <w:r>
        <w:rPr>
          <w:color w:val="231F20"/>
          <w:spacing w:val="-15"/>
          <w:sz w:val="24"/>
        </w:rPr>
        <w:t> </w:t>
      </w:r>
      <w:r>
        <w:rPr>
          <w:color w:val="231F20"/>
          <w:sz w:val="24"/>
        </w:rPr>
        <w:t>the</w:t>
      </w:r>
      <w:r>
        <w:rPr>
          <w:color w:val="231F20"/>
          <w:spacing w:val="-15"/>
          <w:sz w:val="24"/>
        </w:rPr>
        <w:t> </w:t>
      </w:r>
      <w:r>
        <w:rPr>
          <w:color w:val="231F20"/>
          <w:sz w:val="24"/>
        </w:rPr>
        <w:t>Sublease,</w:t>
      </w:r>
      <w:r>
        <w:rPr>
          <w:color w:val="231F20"/>
          <w:spacing w:val="-15"/>
          <w:sz w:val="24"/>
        </w:rPr>
        <w:t> </w:t>
      </w:r>
      <w:r>
        <w:rPr>
          <w:color w:val="231F20"/>
          <w:sz w:val="24"/>
        </w:rPr>
        <w:t>including</w:t>
      </w:r>
      <w:r>
        <w:rPr>
          <w:color w:val="231F20"/>
          <w:spacing w:val="-15"/>
          <w:sz w:val="24"/>
        </w:rPr>
        <w:t> </w:t>
      </w:r>
      <w:r>
        <w:rPr>
          <w:color w:val="231F20"/>
          <w:sz w:val="24"/>
        </w:rPr>
        <w:t>without limitation any action to collect amounts due and unpaid to Landlord.</w:t>
      </w:r>
    </w:p>
    <w:p>
      <w:pPr>
        <w:pStyle w:val="ListParagraph"/>
        <w:numPr>
          <w:ilvl w:val="0"/>
          <w:numId w:val="1"/>
        </w:numPr>
        <w:tabs>
          <w:tab w:pos="828" w:val="left" w:leader="none"/>
        </w:tabs>
        <w:spacing w:line="240" w:lineRule="auto" w:before="241" w:after="0"/>
        <w:ind w:left="107" w:right="120" w:firstLine="0"/>
        <w:jc w:val="both"/>
        <w:rPr>
          <w:sz w:val="24"/>
        </w:rPr>
      </w:pPr>
      <w:r>
        <w:rPr>
          <w:color w:val="231F20"/>
          <w:sz w:val="24"/>
        </w:rPr>
        <w:t>That</w:t>
      </w:r>
      <w:r>
        <w:rPr>
          <w:color w:val="231F20"/>
          <w:spacing w:val="-1"/>
          <w:sz w:val="24"/>
        </w:rPr>
        <w:t> </w:t>
      </w:r>
      <w:r>
        <w:rPr>
          <w:color w:val="231F20"/>
          <w:sz w:val="24"/>
        </w:rPr>
        <w:t>if</w:t>
      </w:r>
      <w:r>
        <w:rPr>
          <w:color w:val="231F20"/>
          <w:spacing w:val="-4"/>
          <w:sz w:val="24"/>
        </w:rPr>
        <w:t> </w:t>
      </w:r>
      <w:r>
        <w:rPr>
          <w:color w:val="231F20"/>
          <w:sz w:val="24"/>
        </w:rPr>
        <w:t>legal</w:t>
      </w:r>
      <w:r>
        <w:rPr>
          <w:color w:val="231F20"/>
          <w:spacing w:val="-5"/>
          <w:sz w:val="24"/>
        </w:rPr>
        <w:t> </w:t>
      </w:r>
      <w:r>
        <w:rPr>
          <w:color w:val="231F20"/>
          <w:sz w:val="24"/>
        </w:rPr>
        <w:t>action</w:t>
      </w:r>
      <w:r>
        <w:rPr>
          <w:color w:val="231F20"/>
          <w:spacing w:val="-2"/>
          <w:sz w:val="24"/>
        </w:rPr>
        <w:t> </w:t>
      </w:r>
      <w:r>
        <w:rPr>
          <w:color w:val="231F20"/>
          <w:sz w:val="24"/>
        </w:rPr>
        <w:t>is</w:t>
      </w:r>
      <w:r>
        <w:rPr>
          <w:color w:val="231F20"/>
          <w:spacing w:val="-5"/>
          <w:sz w:val="24"/>
        </w:rPr>
        <w:t> </w:t>
      </w:r>
      <w:r>
        <w:rPr>
          <w:color w:val="231F20"/>
          <w:sz w:val="24"/>
        </w:rPr>
        <w:t>necessary</w:t>
      </w:r>
      <w:r>
        <w:rPr>
          <w:color w:val="231F20"/>
          <w:spacing w:val="-4"/>
          <w:sz w:val="24"/>
        </w:rPr>
        <w:t> </w:t>
      </w:r>
      <w:r>
        <w:rPr>
          <w:color w:val="231F20"/>
          <w:sz w:val="24"/>
        </w:rPr>
        <w:t>against</w:t>
      </w:r>
      <w:r>
        <w:rPr>
          <w:color w:val="231F20"/>
          <w:spacing w:val="-4"/>
          <w:sz w:val="24"/>
        </w:rPr>
        <w:t> </w:t>
      </w:r>
      <w:r>
        <w:rPr>
          <w:color w:val="231F20"/>
          <w:sz w:val="24"/>
        </w:rPr>
        <w:t>Tenant</w:t>
      </w:r>
      <w:r>
        <w:rPr>
          <w:color w:val="231F20"/>
          <w:spacing w:val="-1"/>
          <w:sz w:val="24"/>
        </w:rPr>
        <w:t> </w:t>
      </w:r>
      <w:r>
        <w:rPr>
          <w:color w:val="231F20"/>
          <w:sz w:val="24"/>
        </w:rPr>
        <w:t>or</w:t>
      </w:r>
      <w:r>
        <w:rPr>
          <w:color w:val="231F20"/>
          <w:spacing w:val="-4"/>
          <w:sz w:val="24"/>
        </w:rPr>
        <w:t> </w:t>
      </w:r>
      <w:r>
        <w:rPr>
          <w:color w:val="231F20"/>
          <w:sz w:val="24"/>
        </w:rPr>
        <w:t>Guarantor,</w:t>
      </w:r>
      <w:r>
        <w:rPr>
          <w:color w:val="231F20"/>
          <w:spacing w:val="-4"/>
          <w:sz w:val="24"/>
        </w:rPr>
        <w:t> </w:t>
      </w:r>
      <w:r>
        <w:rPr>
          <w:color w:val="231F20"/>
          <w:sz w:val="24"/>
        </w:rPr>
        <w:t>Landlord</w:t>
      </w:r>
      <w:r>
        <w:rPr>
          <w:color w:val="231F20"/>
          <w:spacing w:val="-4"/>
          <w:sz w:val="24"/>
        </w:rPr>
        <w:t> </w:t>
      </w:r>
      <w:r>
        <w:rPr>
          <w:color w:val="231F20"/>
          <w:sz w:val="24"/>
        </w:rPr>
        <w:t>shall be</w:t>
      </w:r>
      <w:r>
        <w:rPr>
          <w:color w:val="231F20"/>
          <w:spacing w:val="-5"/>
          <w:sz w:val="24"/>
        </w:rPr>
        <w:t> </w:t>
      </w:r>
      <w:r>
        <w:rPr>
          <w:color w:val="231F20"/>
          <w:sz w:val="24"/>
        </w:rPr>
        <w:t>entitled</w:t>
      </w:r>
      <w:r>
        <w:rPr>
          <w:color w:val="231F20"/>
          <w:spacing w:val="-4"/>
          <w:sz w:val="24"/>
        </w:rPr>
        <w:t> </w:t>
      </w:r>
      <w:r>
        <w:rPr>
          <w:color w:val="231F20"/>
          <w:sz w:val="24"/>
        </w:rPr>
        <w:t>to recover its attorney’s fees and costs incurred in such action.</w:t>
      </w:r>
    </w:p>
    <w:p>
      <w:pPr>
        <w:pStyle w:val="ListParagraph"/>
        <w:numPr>
          <w:ilvl w:val="0"/>
          <w:numId w:val="1"/>
        </w:numPr>
        <w:tabs>
          <w:tab w:pos="828" w:val="left" w:leader="none"/>
        </w:tabs>
        <w:spacing w:line="240" w:lineRule="auto" w:before="239" w:after="0"/>
        <w:ind w:left="107" w:right="113" w:firstLine="0"/>
        <w:jc w:val="both"/>
        <w:rPr>
          <w:sz w:val="24"/>
        </w:rPr>
      </w:pPr>
      <w:r>
        <w:rPr>
          <w:color w:val="231F20"/>
          <w:sz w:val="24"/>
        </w:rPr>
        <w:t>That Guarantor’s obligations hereunder shall remain in full force and effect notwithstanding the institution by or against Tenant of a petition in bankruptcy.</w:t>
      </w:r>
    </w:p>
    <w:p>
      <w:pPr>
        <w:pStyle w:val="ListParagraph"/>
        <w:numPr>
          <w:ilvl w:val="0"/>
          <w:numId w:val="1"/>
        </w:numPr>
        <w:tabs>
          <w:tab w:pos="828" w:val="left" w:leader="none"/>
        </w:tabs>
        <w:spacing w:line="240" w:lineRule="auto" w:before="241" w:after="0"/>
        <w:ind w:left="107" w:right="118" w:firstLine="0"/>
        <w:jc w:val="both"/>
        <w:rPr>
          <w:sz w:val="24"/>
        </w:rPr>
      </w:pPr>
      <w:r>
        <w:rPr>
          <w:color w:val="231F20"/>
          <w:sz w:val="24"/>
        </w:rPr>
        <w:t>That this Personal Guaranty shall not be terminated, affected or impaired in any manner by reason of the assertion by Landlord against Tenant of any of Landlord’s rights or remedies, the commencement of any proceedings against Tenant, the failure of Landlord to enforce any of Landlord’s rights against Tenant, or the granting by Landlord of any time extensions to Tenant.</w:t>
      </w:r>
    </w:p>
    <w:p>
      <w:pPr>
        <w:pStyle w:val="ListParagraph"/>
        <w:numPr>
          <w:ilvl w:val="0"/>
          <w:numId w:val="1"/>
        </w:numPr>
        <w:tabs>
          <w:tab w:pos="827" w:val="left" w:leader="none"/>
        </w:tabs>
        <w:spacing w:line="240" w:lineRule="auto" w:before="240" w:after="0"/>
        <w:ind w:left="107" w:right="118" w:firstLine="0"/>
        <w:jc w:val="both"/>
        <w:rPr>
          <w:sz w:val="24"/>
        </w:rPr>
      </w:pPr>
      <w:r>
        <w:rPr>
          <w:color w:val="231F20"/>
          <w:sz w:val="24"/>
        </w:rPr>
        <w:t>That</w:t>
      </w:r>
      <w:r>
        <w:rPr>
          <w:color w:val="231F20"/>
          <w:spacing w:val="-7"/>
          <w:sz w:val="24"/>
        </w:rPr>
        <w:t> </w:t>
      </w:r>
      <w:r>
        <w:rPr>
          <w:color w:val="231F20"/>
          <w:sz w:val="24"/>
        </w:rPr>
        <w:t>this</w:t>
      </w:r>
      <w:r>
        <w:rPr>
          <w:color w:val="231F20"/>
          <w:spacing w:val="-9"/>
          <w:sz w:val="24"/>
        </w:rPr>
        <w:t> </w:t>
      </w:r>
      <w:r>
        <w:rPr>
          <w:color w:val="231F20"/>
          <w:sz w:val="24"/>
        </w:rPr>
        <w:t>Guaranty</w:t>
      </w:r>
      <w:r>
        <w:rPr>
          <w:color w:val="231F20"/>
          <w:spacing w:val="-5"/>
          <w:sz w:val="24"/>
        </w:rPr>
        <w:t> </w:t>
      </w:r>
      <w:r>
        <w:rPr>
          <w:color w:val="231F20"/>
          <w:sz w:val="24"/>
        </w:rPr>
        <w:t>shall</w:t>
      </w:r>
      <w:r>
        <w:rPr>
          <w:color w:val="231F20"/>
          <w:spacing w:val="-7"/>
          <w:sz w:val="24"/>
        </w:rPr>
        <w:t> </w:t>
      </w:r>
      <w:r>
        <w:rPr>
          <w:color w:val="231F20"/>
          <w:sz w:val="24"/>
        </w:rPr>
        <w:t>inure</w:t>
      </w:r>
      <w:r>
        <w:rPr>
          <w:color w:val="231F20"/>
          <w:spacing w:val="-7"/>
          <w:sz w:val="24"/>
        </w:rPr>
        <w:t> </w:t>
      </w:r>
      <w:r>
        <w:rPr>
          <w:color w:val="231F20"/>
          <w:sz w:val="24"/>
        </w:rPr>
        <w:t>to</w:t>
      </w:r>
      <w:r>
        <w:rPr>
          <w:color w:val="231F20"/>
          <w:spacing w:val="-4"/>
          <w:sz w:val="24"/>
        </w:rPr>
        <w:t> </w:t>
      </w:r>
      <w:r>
        <w:rPr>
          <w:color w:val="231F20"/>
          <w:sz w:val="24"/>
        </w:rPr>
        <w:t>the</w:t>
      </w:r>
      <w:r>
        <w:rPr>
          <w:color w:val="231F20"/>
          <w:spacing w:val="-7"/>
          <w:sz w:val="24"/>
        </w:rPr>
        <w:t> </w:t>
      </w:r>
      <w:r>
        <w:rPr>
          <w:color w:val="231F20"/>
          <w:sz w:val="24"/>
        </w:rPr>
        <w:t>benefit</w:t>
      </w:r>
      <w:r>
        <w:rPr>
          <w:color w:val="231F20"/>
          <w:spacing w:val="-4"/>
          <w:sz w:val="24"/>
        </w:rPr>
        <w:t> </w:t>
      </w:r>
      <w:r>
        <w:rPr>
          <w:color w:val="231F20"/>
          <w:sz w:val="24"/>
        </w:rPr>
        <w:t>of</w:t>
      </w:r>
      <w:r>
        <w:rPr>
          <w:color w:val="231F20"/>
          <w:spacing w:val="-7"/>
          <w:sz w:val="24"/>
        </w:rPr>
        <w:t> </w:t>
      </w:r>
      <w:r>
        <w:rPr>
          <w:color w:val="231F20"/>
          <w:sz w:val="24"/>
        </w:rPr>
        <w:t>Landlord,</w:t>
      </w:r>
      <w:r>
        <w:rPr>
          <w:color w:val="231F20"/>
          <w:spacing w:val="-7"/>
          <w:sz w:val="24"/>
        </w:rPr>
        <w:t> </w:t>
      </w:r>
      <w:r>
        <w:rPr>
          <w:color w:val="231F20"/>
          <w:sz w:val="24"/>
        </w:rPr>
        <w:t>and</w:t>
      </w:r>
      <w:r>
        <w:rPr>
          <w:color w:val="231F20"/>
          <w:spacing w:val="-7"/>
          <w:sz w:val="24"/>
        </w:rPr>
        <w:t> </w:t>
      </w:r>
      <w:r>
        <w:rPr>
          <w:color w:val="231F20"/>
          <w:sz w:val="24"/>
        </w:rPr>
        <w:t>Landlord’s</w:t>
      </w:r>
      <w:r>
        <w:rPr>
          <w:color w:val="231F20"/>
          <w:spacing w:val="-7"/>
          <w:sz w:val="24"/>
        </w:rPr>
        <w:t> </w:t>
      </w:r>
      <w:r>
        <w:rPr>
          <w:color w:val="231F20"/>
          <w:sz w:val="24"/>
        </w:rPr>
        <w:t>heirs,</w:t>
      </w:r>
      <w:r>
        <w:rPr>
          <w:color w:val="231F20"/>
          <w:spacing w:val="-7"/>
          <w:sz w:val="24"/>
        </w:rPr>
        <w:t> </w:t>
      </w:r>
      <w:r>
        <w:rPr>
          <w:color w:val="231F20"/>
          <w:sz w:val="24"/>
        </w:rPr>
        <w:t>successors and assigns and shall be binding on Guarantor, and on Guarantor’s heirs, representatives, successors and assigns.</w:t>
      </w:r>
    </w:p>
    <w:p>
      <w:pPr>
        <w:pStyle w:val="BodyText"/>
        <w:spacing w:before="6"/>
        <w:ind w:left="0"/>
        <w:rPr>
          <w:sz w:val="15"/>
        </w:rPr>
      </w:pPr>
    </w:p>
    <w:p>
      <w:pPr>
        <w:spacing w:after="0"/>
        <w:rPr>
          <w:sz w:val="15"/>
        </w:rPr>
        <w:sectPr>
          <w:type w:val="continuous"/>
          <w:pgSz w:w="12240" w:h="15840"/>
          <w:pgMar w:top="640" w:bottom="280" w:left="900" w:right="900"/>
        </w:sectPr>
      </w:pPr>
    </w:p>
    <w:p>
      <w:pPr>
        <w:spacing w:before="106"/>
        <w:ind w:left="107" w:right="0" w:firstLine="0"/>
        <w:jc w:val="left"/>
        <w:rPr>
          <w:b/>
          <w:sz w:val="24"/>
        </w:rPr>
      </w:pPr>
      <w:r>
        <w:rPr>
          <w:b/>
          <w:color w:val="231F20"/>
          <w:sz w:val="24"/>
        </w:rPr>
        <w:t>SIGNED</w:t>
      </w:r>
      <w:r>
        <w:rPr>
          <w:b/>
          <w:color w:val="231F20"/>
          <w:spacing w:val="-8"/>
          <w:sz w:val="24"/>
        </w:rPr>
        <w:t> </w:t>
      </w:r>
      <w:r>
        <w:rPr>
          <w:b/>
          <w:color w:val="231F20"/>
          <w:sz w:val="24"/>
        </w:rPr>
        <w:t>BY</w:t>
      </w:r>
      <w:r>
        <w:rPr>
          <w:b/>
          <w:color w:val="231F20"/>
          <w:spacing w:val="-8"/>
          <w:sz w:val="24"/>
        </w:rPr>
        <w:t> </w:t>
      </w:r>
      <w:r>
        <w:rPr>
          <w:b/>
          <w:color w:val="231F20"/>
          <w:spacing w:val="-2"/>
          <w:sz w:val="24"/>
        </w:rPr>
        <w:t>GUARANTOR:</w:t>
      </w:r>
    </w:p>
    <w:p>
      <w:pPr>
        <w:tabs>
          <w:tab w:pos="946" w:val="left" w:leader="none"/>
          <w:tab w:pos="5645" w:val="left" w:leader="none"/>
        </w:tabs>
        <w:spacing w:line="259" w:lineRule="auto" w:before="96"/>
        <w:ind w:left="107" w:right="141" w:firstLine="0"/>
        <w:jc w:val="left"/>
        <w:rPr>
          <w:b/>
          <w:sz w:val="24"/>
        </w:rPr>
      </w:pPr>
      <w:r>
        <w:rPr/>
        <w:br w:type="column"/>
      </w:r>
      <w:r>
        <w:rPr>
          <w:b/>
          <w:color w:val="231F20"/>
          <w:sz w:val="24"/>
        </w:rPr>
        <w:t>Subscribed and sworn to before me on</w:t>
      </w:r>
      <w:r>
        <w:rPr>
          <w:b/>
          <w:color w:val="231F20"/>
          <w:spacing w:val="59"/>
          <w:sz w:val="24"/>
        </w:rPr>
        <w:t> </w:t>
      </w:r>
      <w:r>
        <w:rPr>
          <w:b/>
          <w:color w:val="231F20"/>
          <w:sz w:val="24"/>
          <w:u w:val="single" w:color="221E1F"/>
        </w:rPr>
        <w:tab/>
      </w:r>
      <w:r>
        <w:rPr>
          <w:b/>
          <w:color w:val="231F20"/>
          <w:spacing w:val="-15"/>
          <w:sz w:val="24"/>
        </w:rPr>
        <w:t> </w:t>
      </w:r>
      <w:r>
        <w:rPr>
          <w:b/>
          <w:color w:val="231F20"/>
          <w:sz w:val="24"/>
        </w:rPr>
        <w:t>, </w:t>
      </w:r>
      <w:r>
        <w:rPr>
          <w:b/>
          <w:color w:val="231F20"/>
          <w:spacing w:val="-6"/>
          <w:sz w:val="24"/>
        </w:rPr>
        <w:t>20</w:t>
      </w:r>
      <w:r>
        <w:rPr>
          <w:b/>
          <w:color w:val="231F20"/>
          <w:sz w:val="24"/>
          <w:u w:val="single" w:color="221E1F"/>
        </w:rPr>
        <w:tab/>
      </w:r>
      <w:r>
        <w:rPr>
          <w:b/>
          <w:color w:val="231F20"/>
          <w:sz w:val="24"/>
        </w:rPr>
        <w:t> .</w:t>
      </w:r>
    </w:p>
    <w:p>
      <w:pPr>
        <w:spacing w:after="0" w:line="259" w:lineRule="auto"/>
        <w:jc w:val="left"/>
        <w:rPr>
          <w:sz w:val="24"/>
        </w:rPr>
        <w:sectPr>
          <w:type w:val="continuous"/>
          <w:pgSz w:w="12240" w:h="15840"/>
          <w:pgMar w:top="640" w:bottom="280" w:left="900" w:right="900"/>
          <w:cols w:num="2" w:equalWidth="0">
            <w:col w:w="3295" w:space="1236"/>
            <w:col w:w="5909"/>
          </w:cols>
        </w:sectPr>
      </w:pPr>
    </w:p>
    <w:p>
      <w:pPr>
        <w:pStyle w:val="BodyText"/>
        <w:ind w:left="0"/>
        <w:rPr>
          <w:b/>
          <w:sz w:val="20"/>
        </w:rPr>
      </w:pPr>
    </w:p>
    <w:p>
      <w:pPr>
        <w:pStyle w:val="BodyText"/>
        <w:spacing w:before="2"/>
        <w:ind w:left="0"/>
        <w:rPr>
          <w:b/>
          <w:sz w:val="18"/>
        </w:rPr>
      </w:pPr>
    </w:p>
    <w:p>
      <w:pPr>
        <w:pStyle w:val="BodyText"/>
        <w:spacing w:line="20" w:lineRule="exact"/>
        <w:ind w:left="108"/>
        <w:rPr>
          <w:sz w:val="2"/>
        </w:rPr>
      </w:pPr>
      <w:r>
        <w:rPr>
          <w:sz w:val="2"/>
        </w:rPr>
        <w:pict>
          <v:group style="width:185.65pt;height:.6pt;mso-position-horizontal-relative:char;mso-position-vertical-relative:line" id="docshapegroup1" coordorigin="0,0" coordsize="3713,12">
            <v:line style="position:absolute" from="0,6" to="3713,6" stroked="true" strokeweight=".598865pt" strokecolor="#221e1f">
              <v:stroke dashstyle="solid"/>
            </v:line>
          </v:group>
        </w:pict>
      </w:r>
      <w:r>
        <w:rPr>
          <w:sz w:val="2"/>
        </w:rPr>
      </w:r>
    </w:p>
    <w:p>
      <w:pPr>
        <w:spacing w:after="0" w:line="20" w:lineRule="exact"/>
        <w:rPr>
          <w:sz w:val="2"/>
        </w:rPr>
        <w:sectPr>
          <w:type w:val="continuous"/>
          <w:pgSz w:w="12240" w:h="15840"/>
          <w:pgMar w:top="640" w:bottom="280" w:left="900" w:right="900"/>
        </w:sectPr>
      </w:pPr>
    </w:p>
    <w:p>
      <w:pPr>
        <w:spacing w:before="20"/>
        <w:ind w:left="107" w:right="0" w:firstLine="0"/>
        <w:jc w:val="left"/>
        <w:rPr>
          <w:b/>
          <w:sz w:val="24"/>
        </w:rPr>
      </w:pPr>
      <w:r>
        <w:rPr>
          <w:b/>
          <w:color w:val="231F20"/>
          <w:spacing w:val="-2"/>
          <w:sz w:val="24"/>
        </w:rPr>
        <w:t>Signature</w:t>
      </w:r>
    </w:p>
    <w:p>
      <w:pPr>
        <w:spacing w:line="240" w:lineRule="auto" w:before="11" w:after="24"/>
        <w:rPr>
          <w:b/>
          <w:sz w:val="4"/>
        </w:rPr>
      </w:pPr>
      <w:r>
        <w:rPr/>
        <w:br w:type="column"/>
      </w:r>
      <w:r>
        <w:rPr>
          <w:b/>
          <w:sz w:val="4"/>
        </w:rPr>
      </w:r>
    </w:p>
    <w:p>
      <w:pPr>
        <w:pStyle w:val="BodyText"/>
        <w:spacing w:line="20" w:lineRule="exact"/>
        <w:ind w:left="108"/>
        <w:rPr>
          <w:sz w:val="2"/>
        </w:rPr>
      </w:pPr>
      <w:r>
        <w:rPr>
          <w:sz w:val="2"/>
        </w:rPr>
        <w:pict>
          <v:group style="width:173.7pt;height:.6pt;mso-position-horizontal-relative:char;mso-position-vertical-relative:line" id="docshapegroup2" coordorigin="0,0" coordsize="3474,12">
            <v:line style="position:absolute" from="0,6" to="3473,6" stroked="true" strokeweight=".598865pt" strokecolor="#221e1f">
              <v:stroke dashstyle="solid"/>
            </v:line>
          </v:group>
        </w:pict>
      </w:r>
      <w:r>
        <w:rPr>
          <w:sz w:val="2"/>
        </w:rPr>
      </w:r>
    </w:p>
    <w:p>
      <w:pPr>
        <w:tabs>
          <w:tab w:pos="4245" w:val="left" w:leader="none"/>
        </w:tabs>
        <w:spacing w:before="42"/>
        <w:ind w:left="107" w:right="0" w:firstLine="0"/>
        <w:jc w:val="left"/>
        <w:rPr>
          <w:b/>
          <w:sz w:val="24"/>
        </w:rPr>
      </w:pPr>
      <w:r>
        <w:rPr>
          <w:b/>
          <w:color w:val="231F20"/>
          <w:sz w:val="24"/>
        </w:rPr>
        <w:t>Notary</w:t>
      </w:r>
      <w:r>
        <w:rPr>
          <w:b/>
          <w:color w:val="231F20"/>
          <w:spacing w:val="-9"/>
          <w:sz w:val="24"/>
        </w:rPr>
        <w:t> </w:t>
      </w:r>
      <w:r>
        <w:rPr>
          <w:b/>
          <w:color w:val="231F20"/>
          <w:spacing w:val="-2"/>
          <w:sz w:val="24"/>
        </w:rPr>
        <w:t>Public</w:t>
      </w:r>
      <w:r>
        <w:rPr>
          <w:b/>
          <w:color w:val="231F20"/>
          <w:sz w:val="24"/>
        </w:rPr>
        <w:tab/>
      </w:r>
      <w:r>
        <w:rPr>
          <w:b/>
          <w:color w:val="231F20"/>
          <w:spacing w:val="-2"/>
          <w:sz w:val="24"/>
        </w:rPr>
        <w:t>[SEAL]</w:t>
      </w:r>
    </w:p>
    <w:p>
      <w:pPr>
        <w:pStyle w:val="BodyText"/>
        <w:spacing w:before="9"/>
        <w:ind w:left="0"/>
        <w:rPr>
          <w:b/>
          <w:sz w:val="27"/>
        </w:rPr>
      </w:pPr>
    </w:p>
    <w:p>
      <w:pPr>
        <w:spacing w:before="0"/>
        <w:ind w:left="107" w:right="0" w:firstLine="0"/>
        <w:jc w:val="left"/>
        <w:rPr>
          <w:b/>
          <w:sz w:val="24"/>
        </w:rPr>
      </w:pPr>
      <w:r>
        <w:rPr>
          <w:b/>
          <w:color w:val="231F20"/>
          <w:sz w:val="24"/>
        </w:rPr>
        <w:t>My</w:t>
      </w:r>
      <w:r>
        <w:rPr>
          <w:b/>
          <w:color w:val="231F20"/>
          <w:spacing w:val="-12"/>
          <w:sz w:val="24"/>
        </w:rPr>
        <w:t> </w:t>
      </w:r>
      <w:r>
        <w:rPr>
          <w:b/>
          <w:color w:val="231F20"/>
          <w:sz w:val="24"/>
        </w:rPr>
        <w:t>commission</w:t>
      </w:r>
      <w:r>
        <w:rPr>
          <w:b/>
          <w:color w:val="231F20"/>
          <w:spacing w:val="-12"/>
          <w:sz w:val="24"/>
        </w:rPr>
        <w:t> </w:t>
      </w:r>
      <w:r>
        <w:rPr>
          <w:b/>
          <w:color w:val="231F20"/>
          <w:spacing w:val="-2"/>
          <w:sz w:val="24"/>
        </w:rPr>
        <w:t>expires:</w:t>
      </w:r>
    </w:p>
    <w:sectPr>
      <w:type w:val="continuous"/>
      <w:pgSz w:w="12240" w:h="15840"/>
      <w:pgMar w:top="640" w:bottom="280" w:left="900" w:right="900"/>
      <w:cols w:num="2" w:equalWidth="0">
        <w:col w:w="1214" w:space="3318"/>
        <w:col w:w="590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Book Antiqua">
    <w:altName w:val="Book Antiqu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Letter"/>
      <w:lvlText w:val="%1."/>
      <w:lvlJc w:val="left"/>
      <w:pPr>
        <w:ind w:left="108" w:hanging="720"/>
        <w:jc w:val="left"/>
      </w:pPr>
      <w:rPr>
        <w:rFonts w:hint="default" w:ascii="Book Antiqua" w:hAnsi="Book Antiqua" w:eastAsia="Book Antiqua" w:cs="Book Antiqua"/>
        <w:b/>
        <w:bCs/>
        <w:i w:val="0"/>
        <w:iCs w:val="0"/>
        <w:color w:val="231F20"/>
        <w:w w:val="99"/>
        <w:sz w:val="24"/>
        <w:szCs w:val="24"/>
      </w:rPr>
    </w:lvl>
    <w:lvl w:ilvl="1">
      <w:start w:val="0"/>
      <w:numFmt w:val="bullet"/>
      <w:lvlText w:val="•"/>
      <w:lvlJc w:val="left"/>
      <w:pPr>
        <w:ind w:left="1134" w:hanging="720"/>
      </w:pPr>
      <w:rPr>
        <w:rFonts w:hint="default"/>
      </w:rPr>
    </w:lvl>
    <w:lvl w:ilvl="2">
      <w:start w:val="0"/>
      <w:numFmt w:val="bullet"/>
      <w:lvlText w:val="•"/>
      <w:lvlJc w:val="left"/>
      <w:pPr>
        <w:ind w:left="2168" w:hanging="720"/>
      </w:pPr>
      <w:rPr>
        <w:rFonts w:hint="default"/>
      </w:rPr>
    </w:lvl>
    <w:lvl w:ilvl="3">
      <w:start w:val="0"/>
      <w:numFmt w:val="bullet"/>
      <w:lvlText w:val="•"/>
      <w:lvlJc w:val="left"/>
      <w:pPr>
        <w:ind w:left="3202" w:hanging="720"/>
      </w:pPr>
      <w:rPr>
        <w:rFonts w:hint="default"/>
      </w:rPr>
    </w:lvl>
    <w:lvl w:ilvl="4">
      <w:start w:val="0"/>
      <w:numFmt w:val="bullet"/>
      <w:lvlText w:val="•"/>
      <w:lvlJc w:val="left"/>
      <w:pPr>
        <w:ind w:left="4236" w:hanging="720"/>
      </w:pPr>
      <w:rPr>
        <w:rFonts w:hint="default"/>
      </w:rPr>
    </w:lvl>
    <w:lvl w:ilvl="5">
      <w:start w:val="0"/>
      <w:numFmt w:val="bullet"/>
      <w:lvlText w:val="•"/>
      <w:lvlJc w:val="left"/>
      <w:pPr>
        <w:ind w:left="5270" w:hanging="720"/>
      </w:pPr>
      <w:rPr>
        <w:rFonts w:hint="default"/>
      </w:rPr>
    </w:lvl>
    <w:lvl w:ilvl="6">
      <w:start w:val="0"/>
      <w:numFmt w:val="bullet"/>
      <w:lvlText w:val="•"/>
      <w:lvlJc w:val="left"/>
      <w:pPr>
        <w:ind w:left="6304" w:hanging="720"/>
      </w:pPr>
      <w:rPr>
        <w:rFonts w:hint="default"/>
      </w:rPr>
    </w:lvl>
    <w:lvl w:ilvl="7">
      <w:start w:val="0"/>
      <w:numFmt w:val="bullet"/>
      <w:lvlText w:val="•"/>
      <w:lvlJc w:val="left"/>
      <w:pPr>
        <w:ind w:left="7338" w:hanging="720"/>
      </w:pPr>
      <w:rPr>
        <w:rFonts w:hint="default"/>
      </w:rPr>
    </w:lvl>
    <w:lvl w:ilvl="8">
      <w:start w:val="0"/>
      <w:numFmt w:val="bullet"/>
      <w:lvlText w:val="•"/>
      <w:lvlJc w:val="left"/>
      <w:pPr>
        <w:ind w:left="8372"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Book Antiqua" w:hAnsi="Book Antiqua" w:eastAsia="Book Antiqua" w:cs="Book Antiqua"/>
    </w:rPr>
  </w:style>
  <w:style w:styleId="BodyText" w:type="paragraph">
    <w:name w:val="Body Text"/>
    <w:basedOn w:val="Normal"/>
    <w:uiPriority w:val="1"/>
    <w:qFormat/>
    <w:pPr>
      <w:ind w:left="107"/>
    </w:pPr>
    <w:rPr>
      <w:rFonts w:ascii="Book Antiqua" w:hAnsi="Book Antiqua" w:eastAsia="Book Antiqua" w:cs="Book Antiqua"/>
      <w:sz w:val="24"/>
      <w:szCs w:val="24"/>
    </w:rPr>
  </w:style>
  <w:style w:styleId="ListParagraph" w:type="paragraph">
    <w:name w:val="List Paragraph"/>
    <w:basedOn w:val="Normal"/>
    <w:uiPriority w:val="1"/>
    <w:qFormat/>
    <w:pPr>
      <w:spacing w:before="239"/>
      <w:ind w:left="107" w:right="118"/>
      <w:jc w:val="both"/>
    </w:pPr>
    <w:rPr>
      <w:rFonts w:ascii="Book Antiqua" w:hAnsi="Book Antiqua" w:eastAsia="Book Antiqua" w:cs="Book Antiqua"/>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CHC</dc:creator>
  <dc:title>April BOD Package.pdf</dc:title>
  <dcterms:created xsi:type="dcterms:W3CDTF">2022-05-25T08:18:32Z</dcterms:created>
  <dcterms:modified xsi:type="dcterms:W3CDTF">2022-05-25T08:18:32Z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2022-05-13T00:00:00Z</vt:filetime>
  </property>
  <property fmtid="{D5CDD505-2E9C-101B-9397-08002B2CF9AE}" pid="3" name="Creator">
    <vt:lpwstr>Adobe Acrobat Pro DC (64-bit) 22.1.20117</vt:lpwstr>
  </property>
  <property fmtid="{D5CDD505-2E9C-101B-9397-08002B2CF9AE}" pid="4" name="LastSaved">
    <vt:filetime>2022-05-25T00:00:00Z</vt:filetime>
  </property>
</Properties>
</file>